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B1" w:rsidRPr="00C56D68" w:rsidRDefault="00E87BB1" w:rsidP="00E87B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</w:t>
      </w:r>
    </w:p>
    <w:p w:rsidR="00E87BB1" w:rsidRPr="00C56D68" w:rsidRDefault="00E87BB1" w:rsidP="00E87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</w:t>
      </w:r>
      <w:r w:rsidRPr="00C56D68">
        <w:rPr>
          <w:rFonts w:ascii="Times New Roman" w:hAnsi="Times New Roman"/>
          <w:b/>
          <w:sz w:val="24"/>
          <w:szCs w:val="24"/>
        </w:rPr>
        <w:t xml:space="preserve">по агропромышленному комплексу, сельским территориям, природопользованию и экологии Общественной палаты Ленинградской области по итогам «круглого стола» на тему: </w:t>
      </w:r>
    </w:p>
    <w:p w:rsidR="00E87BB1" w:rsidRPr="00C56D68" w:rsidRDefault="00E87BB1" w:rsidP="00E87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«Водные ресурсы Ленинградской области: проблемы и перспективы».</w:t>
      </w:r>
    </w:p>
    <w:p w:rsidR="00E87BB1" w:rsidRPr="00C56D68" w:rsidRDefault="00E87BB1" w:rsidP="00E87BB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BB1" w:rsidRPr="00C56D68" w:rsidRDefault="00E87BB1" w:rsidP="00E87B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</w:t>
      </w: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27 марта 2018</w:t>
      </w:r>
    </w:p>
    <w:p w:rsidR="00E87BB1" w:rsidRPr="00C56D68" w:rsidRDefault="00E87BB1" w:rsidP="00E87BB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круглого стола: представители Общественной палаты Ленинградской области, органов исполнительной и законодательной власти Ленинградской области, </w:t>
      </w:r>
      <w:proofErr w:type="spellStart"/>
      <w:r w:rsidRPr="00C56D68">
        <w:rPr>
          <w:rFonts w:ascii="Times New Roman" w:hAnsi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C56D68">
        <w:rPr>
          <w:rFonts w:ascii="Times New Roman" w:hAnsi="Times New Roman"/>
          <w:sz w:val="24"/>
          <w:szCs w:val="24"/>
          <w:shd w:val="clear" w:color="auto" w:fill="FFFFFF"/>
        </w:rPr>
        <w:t xml:space="preserve"> по Ленинградской области, общественных организаций и советов обсудили вопросы питьевого водоснабжения и </w:t>
      </w:r>
      <w:proofErr w:type="spellStart"/>
      <w:r w:rsidRPr="00C56D68">
        <w:rPr>
          <w:rFonts w:ascii="Times New Roman" w:hAnsi="Times New Roman"/>
          <w:sz w:val="24"/>
          <w:szCs w:val="24"/>
          <w:shd w:val="clear" w:color="auto" w:fill="FFFFFF"/>
        </w:rPr>
        <w:t>канализирования</w:t>
      </w:r>
      <w:proofErr w:type="spellEnd"/>
      <w:r w:rsidRPr="00C56D68">
        <w:rPr>
          <w:rFonts w:ascii="Times New Roman" w:hAnsi="Times New Roman"/>
          <w:sz w:val="24"/>
          <w:szCs w:val="24"/>
          <w:shd w:val="clear" w:color="auto" w:fill="FFFFFF"/>
        </w:rPr>
        <w:t xml:space="preserve"> на территории Ленинградской области.</w:t>
      </w:r>
    </w:p>
    <w:p w:rsidR="00E87BB1" w:rsidRPr="00C56D68" w:rsidRDefault="00E87BB1" w:rsidP="00E87BB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высказанной по итогу круглого стола тревоги за состояние питьевой воды  и водных ресурсов в целом, участники круглого стола </w:t>
      </w: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  <w:r w:rsidRPr="00C56D68">
        <w:rPr>
          <w:rFonts w:ascii="Times New Roman" w:hAnsi="Times New Roman"/>
          <w:sz w:val="24"/>
          <w:szCs w:val="24"/>
        </w:rPr>
        <w:t xml:space="preserve">по агропромышленному комплексу, сельским территориям, природопользованию и экологии Общественной палаты Ленинградской области, рекомендуют: </w:t>
      </w:r>
    </w:p>
    <w:p w:rsidR="00E87BB1" w:rsidRPr="00C56D68" w:rsidRDefault="00E87BB1" w:rsidP="00E87BB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Правительству Ленинградской области:</w:t>
      </w:r>
    </w:p>
    <w:p w:rsidR="00E87BB1" w:rsidRPr="00C56D68" w:rsidRDefault="00E87BB1" w:rsidP="00E87BB1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Создать публичный реестр неблагонадежных организаций Ленинградской области, осуществляющих деятельность в сфере проектирования и строительства;</w:t>
      </w:r>
    </w:p>
    <w:p w:rsidR="00E87BB1" w:rsidRPr="00C56D68" w:rsidRDefault="00E87BB1" w:rsidP="00E87BB1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Предложить органам местного самоуправления, общественным организациям и жителям Ленинградской области принять участие в </w:t>
      </w:r>
      <w:proofErr w:type="gram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пополнении</w:t>
      </w:r>
      <w:proofErr w:type="gram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актуализации данных реестра. </w:t>
      </w:r>
    </w:p>
    <w:p w:rsidR="00E87BB1" w:rsidRPr="00C56D68" w:rsidRDefault="00E87BB1" w:rsidP="00E87BB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Комитету государственного экологического надзора Ленинградской области совместно с Комитетом по жилищно-коммунальному хозяйству Ленинградской области:</w:t>
      </w:r>
    </w:p>
    <w:p w:rsidR="00E87BB1" w:rsidRPr="00C56D68" w:rsidRDefault="00E87BB1" w:rsidP="00E87BB1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В целях минимизации рисков, путем увеличения ответственности участников проекта, ознакомиться с опытом проектирования и строительства по схеме «под ключ» (ЕРС) объектов водоснабжения и водоотведения, осуществляемым Группой компаний «</w:t>
      </w:r>
      <w:proofErr w:type="spell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Биотехпрогресс</w:t>
      </w:r>
      <w:proofErr w:type="spell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87BB1" w:rsidRPr="00C56D68" w:rsidRDefault="00E87BB1" w:rsidP="00E87BB1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С целью снижения  затрат (на разработку только ТЭО, а не полного комплекта ПД), ускорения реализации проектов за счёт утверждения по результатам аудита ТЭО Сводного сметного расчёта  в качестве начального этапа реализации каждого проекта  проводить разработку ТЭО (Технико-экономического обоснования) с прохождением государственного ценового аудита ТЭО согласно Постановлению Правительства РФ от 30.04.2013 N 382. (на примере  ФЦП и РАИП ВКХ Республики  Крым).</w:t>
      </w:r>
      <w:proofErr w:type="gramEnd"/>
    </w:p>
    <w:p w:rsidR="00E87BB1" w:rsidRPr="00C56D68" w:rsidRDefault="00E87BB1" w:rsidP="00E87BB1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квалификационных требований к участникам закупочных процедур ужесточить критерии по опыту работы  и штатной численности персонала.</w:t>
      </w:r>
    </w:p>
    <w:p w:rsidR="00E87BB1" w:rsidRPr="00C56D68" w:rsidRDefault="00E87BB1" w:rsidP="00E87BB1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Привлекать к формированию Заданий на выполнение работ наиболее опытные организации Российской Федерации, имеющие не только опыт проектирования либо производства оборудования, но и опыт строительства и ввода в эксплуатацию объектов.</w:t>
      </w:r>
    </w:p>
    <w:p w:rsidR="00E87BB1" w:rsidRPr="00C56D68" w:rsidRDefault="00E87BB1" w:rsidP="00E87BB1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Исключать из квалификационных требований к участникам закупочных процедур критерия «Деловая репутация участника закупки» определяется индексом деловой репутации в соответствии с требованиями ГОСТ </w:t>
      </w:r>
      <w:proofErr w:type="gram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66.1.01-2015 «Оценка опыта и деловой репутации субъектов предпринимательской деятельности. Национальная система </w:t>
      </w: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стандартов. Оценка опыта и деловой репутации лиц, осуществляющих архитектурно-строительное проектирование». </w:t>
      </w:r>
    </w:p>
    <w:p w:rsidR="00E87BB1" w:rsidRPr="00C56D68" w:rsidRDefault="00E87BB1" w:rsidP="00E87BB1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Комитету по жилищно-коммунальному хозяйству Ленинградской области:</w:t>
      </w:r>
    </w:p>
    <w:p w:rsidR="00E87BB1" w:rsidRPr="00C56D68" w:rsidRDefault="00E87BB1" w:rsidP="00E87BB1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проводить оценку качества воды систем централизованного хозяйственно-</w:t>
      </w: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питьевого водоснабжения по показателям химической безвредности в рамках реализации мероприятий подпрограммы «Водоснабжение и водоотведение Ленинградской области на 2014-2018 годы»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Ленинградской области», подпрограммы «Устойчивое развитие сельских территорий Ленинградской области на 2014-2017 годы и на период до 2020 года» программы «Развитие сельского</w:t>
      </w:r>
      <w:proofErr w:type="gram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хозяйства Ленинградской области» с целью снижения риска для здоровья населения;</w:t>
      </w:r>
    </w:p>
    <w:p w:rsidR="00E87BB1" w:rsidRPr="00C56D68" w:rsidRDefault="00E87BB1" w:rsidP="00E87BB1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направить в Общественную палату Ленинградской области аналитический обзор о системах централизованного водоснабжения и водоотведения в Ленинградской области, включая анализ их состояние, существующие проблемы и пути их решения;</w:t>
      </w:r>
    </w:p>
    <w:p w:rsidR="00E87BB1" w:rsidRPr="00C56D68" w:rsidRDefault="00E87BB1" w:rsidP="00E87BB1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уделить первоочередное внимание  реконструкции старых и строительства новых канализационных очистных сооружений в 3-х районах Ленинградской области (см. Протокол) в рамках распределения субсидий из областного бюджета бюджетам муниципальных образований на со-финансирование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на территории Ленинградской области в рамках основного мероприятия "Содействие</w:t>
      </w:r>
      <w:proofErr w:type="gram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инженерных коммуникаций"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Ленинградской области".</w:t>
      </w:r>
    </w:p>
    <w:p w:rsidR="00E87BB1" w:rsidRPr="00C56D68" w:rsidRDefault="00E87BB1" w:rsidP="00E87BB1">
      <w:pPr>
        <w:spacing w:before="240" w:after="0" w:line="240" w:lineRule="auto"/>
        <w:jc w:val="both"/>
        <w:rPr>
          <w:rFonts w:ascii="Times New Roman" w:hAnsi="Times New Roman"/>
          <w:color w:val="1C1C1C"/>
          <w:spacing w:val="-2"/>
          <w:sz w:val="24"/>
          <w:szCs w:val="24"/>
          <w:shd w:val="clear" w:color="auto" w:fill="FFFFFF"/>
        </w:rPr>
      </w:pPr>
      <w:r w:rsidRPr="00C56D68">
        <w:rPr>
          <w:rFonts w:ascii="Times New Roman" w:eastAsia="Times New Roman" w:hAnsi="Times New Roman"/>
          <w:b/>
          <w:i/>
          <w:sz w:val="24"/>
          <w:szCs w:val="24"/>
        </w:rPr>
        <w:t xml:space="preserve">Органам местного самоуправления и </w:t>
      </w:r>
      <w:r w:rsidRPr="00C56D68">
        <w:rPr>
          <w:rFonts w:ascii="Times New Roman" w:hAnsi="Times New Roman"/>
          <w:b/>
          <w:i/>
          <w:color w:val="1C1C1C"/>
          <w:spacing w:val="-2"/>
          <w:sz w:val="24"/>
          <w:szCs w:val="24"/>
          <w:shd w:val="clear" w:color="auto" w:fill="FFFFFF"/>
        </w:rPr>
        <w:t>Государственному унитарному предприятию «Водоканал Ленинградской области»</w:t>
      </w:r>
      <w:r>
        <w:rPr>
          <w:rFonts w:ascii="Times New Roman" w:hAnsi="Times New Roman"/>
          <w:b/>
          <w:i/>
          <w:color w:val="1C1C1C"/>
          <w:spacing w:val="-2"/>
          <w:sz w:val="24"/>
          <w:szCs w:val="24"/>
          <w:shd w:val="clear" w:color="auto" w:fill="FFFFFF"/>
        </w:rPr>
        <w:t>:</w:t>
      </w:r>
      <w:r w:rsidRPr="00C56D68">
        <w:rPr>
          <w:rFonts w:ascii="Times New Roman" w:hAnsi="Times New Roman"/>
          <w:color w:val="1C1C1C"/>
          <w:spacing w:val="-2"/>
          <w:sz w:val="24"/>
          <w:szCs w:val="24"/>
          <w:shd w:val="clear" w:color="auto" w:fill="FFFFFF"/>
        </w:rPr>
        <w:t> </w:t>
      </w:r>
    </w:p>
    <w:p w:rsidR="00E87BB1" w:rsidRPr="00C56D68" w:rsidRDefault="00E87BB1" w:rsidP="00E87BB1">
      <w:pPr>
        <w:pStyle w:val="a3"/>
        <w:numPr>
          <w:ilvl w:val="0"/>
          <w:numId w:val="4"/>
        </w:numPr>
        <w:spacing w:before="24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6D68">
        <w:rPr>
          <w:rFonts w:ascii="Times New Roman" w:hAnsi="Times New Roman"/>
          <w:color w:val="000000"/>
          <w:sz w:val="24"/>
          <w:szCs w:val="24"/>
          <w:lang w:eastAsia="ru-RU" w:bidi="ru-RU"/>
        </w:rPr>
        <w:t>при разработке инвестиционных программ по повышению качества питьевого водоснабжения, проектов строительства (реконструкции) систем водоснабжения и водоотведения проводить интегральную оценку питьевой воды, подаваемой населению, по показателям химической безвр</w:t>
      </w:r>
      <w:r w:rsidRPr="00C56D68">
        <w:rPr>
          <w:rFonts w:ascii="Times New Roman" w:hAnsi="Times New Roman"/>
          <w:sz w:val="24"/>
          <w:szCs w:val="24"/>
        </w:rPr>
        <w:t>едности с целью выбора наиболее эффективных технологий водоподготовки.</w:t>
      </w:r>
    </w:p>
    <w:p w:rsidR="00E87BB1" w:rsidRPr="00C56D68" w:rsidRDefault="00E87BB1" w:rsidP="00E87BB1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7BB1" w:rsidRPr="00C56D68" w:rsidRDefault="00E87BB1" w:rsidP="00E87BB1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Общественной палате Ленинградской области:</w:t>
      </w:r>
    </w:p>
    <w:p w:rsidR="00E87BB1" w:rsidRPr="00C56D68" w:rsidRDefault="00E87BB1" w:rsidP="00E87BB1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7BB1" w:rsidRPr="00C56D68" w:rsidRDefault="00E87BB1" w:rsidP="00E87BB1">
      <w:pPr>
        <w:pStyle w:val="a3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Создать при Общественной палате Ленинградкой области рабочую группу:</w:t>
      </w:r>
    </w:p>
    <w:p w:rsidR="00E87BB1" w:rsidRPr="00C56D68" w:rsidRDefault="00E87BB1" w:rsidP="00E87BB1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- для участия в разработке проекта концепции водоснабжения и водоотведения Ленинградской области и программы по ее реализации;</w:t>
      </w:r>
    </w:p>
    <w:p w:rsidR="00E87BB1" w:rsidRPr="00C56D68" w:rsidRDefault="00E87BB1" w:rsidP="00E87BB1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мониторинга и участия в </w:t>
      </w:r>
      <w:proofErr w:type="gram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совершенствовании</w:t>
      </w:r>
      <w:proofErr w:type="gram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водоохранного</w:t>
      </w:r>
      <w:proofErr w:type="spell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законодательства в регионе, в том числе: для участия в разработке проекта законов Ленинградской области («Об охране </w:t>
      </w:r>
      <w:proofErr w:type="spell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водоисточников</w:t>
      </w:r>
      <w:proofErr w:type="spell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области»;  «Об обеспечении питьевой водой населения Ленинградской области»);</w:t>
      </w:r>
    </w:p>
    <w:p w:rsidR="00E87BB1" w:rsidRPr="00C56D68" w:rsidRDefault="00E87BB1" w:rsidP="00E87BB1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подготовки рекомендаций по решению правовых, методических, финансовых и других вопросов, связанных с повышением статуса зон санитарной охраны (ЗСО) эксплуатируемых и перспективных </w:t>
      </w:r>
      <w:proofErr w:type="spell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водоисточников</w:t>
      </w:r>
      <w:proofErr w:type="spell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области.</w:t>
      </w:r>
    </w:p>
    <w:p w:rsidR="00E87BB1" w:rsidRPr="00C56D68" w:rsidRDefault="00E87BB1" w:rsidP="00E87BB1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принятия участия в реализации п. 6.2.3 Ежегодной общественной резолюции YIII Международного Форума (Москва, 20-21 марта 2017 г.) – «Определить Ленинградскую область в числе субъектов РФ, в которой может быть осуществлена апробация предложения по повышению статуса ЗСО </w:t>
      </w:r>
      <w:proofErr w:type="spellStart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водоисточников</w:t>
      </w:r>
      <w:proofErr w:type="spellEnd"/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E87BB1" w:rsidRPr="00C56D68" w:rsidRDefault="00E87BB1" w:rsidP="00E87BB1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eastAsia="Times New Roman" w:hAnsi="Times New Roman"/>
          <w:sz w:val="24"/>
          <w:szCs w:val="24"/>
          <w:lang w:eastAsia="ru-RU"/>
        </w:rPr>
        <w:t>Направить в Минздрав Российской Федерации предложение о включении в специальную общенациональную программу по борьбе с онкологическими заболеваниями направления «Чистая вода», содержащего раздел об охране источников питьевого водоснабжения.</w:t>
      </w:r>
    </w:p>
    <w:p w:rsidR="00365F1A" w:rsidRDefault="00E87BB1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68"/>
    <w:multiLevelType w:val="hybridMultilevel"/>
    <w:tmpl w:val="50C029EA"/>
    <w:lvl w:ilvl="0" w:tplc="513A9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E09C6"/>
    <w:multiLevelType w:val="hybridMultilevel"/>
    <w:tmpl w:val="63D8D540"/>
    <w:lvl w:ilvl="0" w:tplc="AC9C92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4E6A"/>
    <w:multiLevelType w:val="hybridMultilevel"/>
    <w:tmpl w:val="AF3AC0C2"/>
    <w:lvl w:ilvl="0" w:tplc="F4E0B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F265E8"/>
    <w:multiLevelType w:val="hybridMultilevel"/>
    <w:tmpl w:val="95566A0C"/>
    <w:lvl w:ilvl="0" w:tplc="EA2E8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50D0"/>
    <w:multiLevelType w:val="hybridMultilevel"/>
    <w:tmpl w:val="18A86C6E"/>
    <w:lvl w:ilvl="0" w:tplc="46A82A52">
      <w:start w:val="1"/>
      <w:numFmt w:val="decimal"/>
      <w:lvlText w:val="%1."/>
      <w:lvlJc w:val="left"/>
      <w:pPr>
        <w:ind w:left="2543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1"/>
    <w:rsid w:val="0039600A"/>
    <w:rsid w:val="00742FBC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2018-12-17T09:13:00Z</dcterms:created>
  <dcterms:modified xsi:type="dcterms:W3CDTF">2018-12-17T09:13:00Z</dcterms:modified>
</cp:coreProperties>
</file>